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_rels/chart4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mbeddings/Arkusz_programu_Microsoft_Excel1.xlsx" ContentType="application/vnd.openxmlformats-officedocument.spreadsheetml.sheet"/>
  <Override PartName="/word/embeddings/Arkusz_programu_Microsoft_Excel2.xlsx" ContentType="application/vnd.openxmlformats-officedocument.spreadsheetml.sheet"/>
  <Override PartName="/word/embeddings/Arkusz_programu_Microsoft_Excel3.xlsx" ContentType="application/vnd.openxmlformats-officedocument.spreadsheetml.sheet"/>
  <Override PartName="/word/embeddings/Arkusz_programu_Microsoft_Excel4.xlsx" ContentType="application/vnd.openxmlformats-officedocument.spreadsheetml.sheet"/>
  <Override PartName="/word/embeddings/Arkusz_programu_Microsoft_Excel5.xlsx" ContentType="application/vnd.openxmlformats-officedocument.spreadsheetml.sheet"/>
  <Override PartName="/word/embeddings/Arkusz_programu_Microsoft_Excel6.xlsx" ContentType="application/vnd.openxmlformats-officedocument.spreadsheetml.sheet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auto"/>
        </w:rPr>
      </w:pPr>
      <w:bookmarkStart w:id="0" w:name="_Toc134790077"/>
      <w:r>
        <w:rPr>
          <w:b/>
          <w:color w:val="auto"/>
          <w:sz w:val="26"/>
          <w:szCs w:val="26"/>
        </w:rPr>
        <w:t>BEZPIECZEŃSTWO PUBLICZNE</w:t>
      </w:r>
      <w:bookmarkEnd w:id="0"/>
    </w:p>
    <w:p>
      <w:pPr>
        <w:pStyle w:val="Normal"/>
        <w:rPr>
          <w:color w:val="auto"/>
        </w:rPr>
      </w:pPr>
      <w:r>
        <w:rPr>
          <w:b/>
          <w:color w:val="auto"/>
        </w:rPr>
        <w:t>PRZESTĘPCZOŚĆ OGÓŁEM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W 2025 roku funkcjonariusze wszczęli 1081 postępowań przygotowawczych w związku                                       z przestępstwami popełnionymi na terenie Piekar Śląskich tj. o 42 przypadki mniej niż w 2024 roku.</w:t>
        <w:br/>
      </w:r>
      <w:r>
        <w:rPr>
          <w:color w:val="000000"/>
          <w:sz w:val="22"/>
          <w:szCs w:val="22"/>
          <w:shd w:fill="auto" w:val="clear"/>
        </w:rPr>
        <w:t>W efekcie wskaźnik dynamiki w tej kategorii wyniósł 96,3 %</w:t>
      </w:r>
      <w:r>
        <w:rPr>
          <w:bCs/>
          <w:color w:val="000000"/>
          <w:sz w:val="22"/>
          <w:szCs w:val="22"/>
          <w:shd w:fill="auto" w:val="clear"/>
        </w:rPr>
        <w:t>.</w:t>
      </w:r>
    </w:p>
    <w:p>
      <w:pPr>
        <w:pStyle w:val="Normal"/>
        <w:rPr>
          <w:color w:val="auto"/>
        </w:rPr>
      </w:pPr>
      <w:r>
        <w:rPr>
          <w:b/>
          <w:i/>
          <w:iCs/>
          <w:color w:val="auto"/>
          <w:u w:val="none"/>
        </w:rPr>
        <w:t>Wykres: Postępowania wszczęte</w:t>
      </w:r>
    </w:p>
    <w:p>
      <w:pPr>
        <w:pStyle w:val="Normal"/>
        <w:rPr>
          <w:color w:val="auto"/>
        </w:rPr>
      </w:pPr>
      <w:r>
        <w:rPr/>
        <w:drawing>
          <wp:inline distT="0" distB="0" distL="0" distR="0">
            <wp:extent cx="5534025" cy="4444365"/>
            <wp:effectExtent l="0" t="0" r="0" b="0"/>
            <wp:docPr id="1" name="Wykres 169736920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  <w:r>
        <w:rPr>
          <w:i/>
          <w:color w:val="auto"/>
        </w:rPr>
        <w:t>Źródło: Opracowanie własne KMP w Piekarach Śląskich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 xml:space="preserve">Jednocześnie wskaźnik wykrycia wzrósł z 72,1 % do 76,2 % przy średniej wojewódzkiej wynoszącej 76,3 %. Zarzuty popełnienia przestępstwa przedstawiono 450 osobom. Spośród osób, którym przedstawiono zarzuty 12 zostało tymczasowo aresztowanych. W 2025 roku 184 osoby zatrzymano na tzw. ”gorącym uczynku” popełnienia przestępstwa.  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</w:rPr>
        <w:t>PRZESTĘPSTWA KRYMINALNE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 xml:space="preserve">W ubiegłym roku wszczętych zostało 560 postępowań przygotowawczych o przestępstwa kryminalne, tj. o 135 postępowań mniej niż w 2024 roku.                                 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W zakończonych postępowaniach 211 podejrzanym przedstawiono łącznie 331 zarzutów popełnienia przestępstw kryminalnych.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 xml:space="preserve">Odnotowano spadek ujawnionych czynów karalnych popełnionych przez nieletnich. </w:t>
        <w:br/>
        <w:t>W 2024 roku odnotowano 2 takie czyny, natomiast w roku ubiegłym  nie odnotowano czynów karalnych popełnionych przez nieletnich.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Wykrywalność przestępstw kryminalnych spadła z 77,4 % do 69,5 % , przy średniej wojewódzkiej na poziomie 66,2 %.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b/>
          <w:i/>
          <w:iCs/>
          <w:color w:val="auto"/>
        </w:rPr>
        <w:t>Wykres : Wszczęte postępowania przygotowawcze</w:t>
      </w:r>
    </w:p>
    <w:p>
      <w:pPr>
        <w:pStyle w:val="Normal"/>
        <w:rPr>
          <w:color w:val="auto"/>
        </w:rPr>
      </w:pPr>
      <w:r>
        <w:rPr/>
        <w:drawing>
          <wp:inline distT="0" distB="0" distL="0" distR="0">
            <wp:extent cx="5589905" cy="4245610"/>
            <wp:effectExtent l="0" t="0" r="0" b="0"/>
            <wp:docPr id="2" name="Wykres 16973692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rPr>
          <w:color w:val="auto"/>
        </w:rPr>
      </w:pPr>
      <w:r>
        <w:rPr>
          <w:i/>
          <w:color w:val="auto"/>
        </w:rPr>
        <w:t>Źródło: Opracowanie własne KMP w Piekarach Śląskich</w:t>
      </w:r>
    </w:p>
    <w:p>
      <w:pPr>
        <w:pStyle w:val="Normal"/>
        <w:rPr>
          <w:color w:val="auto"/>
        </w:rPr>
      </w:pPr>
      <w:r>
        <w:rPr>
          <w:b/>
          <w:color w:val="auto"/>
        </w:rPr>
        <w:t>PIĘĆ PODSTAWOWYCH KATEGORII PRZESTĘPSTW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Jednym z najważniejszych obszarów w działalności funkcjonariuszy Komendy Miejskiej Policji w Piekarach Śląskich jest zwalczanie przestępstw uznawanych za szczególnie uciążliwe dla społeczeństwa, tzw. 5 kategorii przestępstw. Wszystkie te kategoria tj. - bójka/pobicie, kradzież mienia, kradzież pojazdu, kradzież z włamaniem, rozbój i wymuszenie rozbójnicze – postrzegane są jako najbardziej dokuczliwe dla obywateli, stąd też ich zwalczanie jest priorytetem działania Policji. Warto dodać, iż w 2024 roku zmieniono siedem podstawowych kategorii przestępstw na pięć uznawanych za szczególnie uciążliwe.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W minionym roku wszczęto 212 postępowań w tej kategorii tj. o 42 więcej niż w ubiegłym roku. Wskaźnik wykrycia wyniósł 58,5 %, przy średniej wojewódzkiej wynoszącej 62,0 %. Stwierdzono 229 przestępstw tj., o 28 więcej niż w 2024 roku. Zarzuty popełnienia przestępstwa przedstawiono 75 osobom, a na gorącym uczynku popełnienia przestępstwa zatrzymano 12 sprawców.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color w:val="auto"/>
        </w:rPr>
      </w:pPr>
      <w:r>
        <w:rPr>
          <w:b/>
          <w:i/>
          <w:iCs/>
          <w:color w:val="auto"/>
        </w:rPr>
        <w:t xml:space="preserve">Wykres: Postępowania wszczęte w 5 podstawowych kategoriach przestępstw </w:t>
      </w:r>
    </w:p>
    <w:p>
      <w:pPr>
        <w:pStyle w:val="Normal"/>
        <w:rPr>
          <w:color w:val="auto"/>
        </w:rPr>
      </w:pPr>
      <w:r>
        <w:rPr/>
        <w:drawing>
          <wp:inline distT="0" distB="0" distL="0" distR="0">
            <wp:extent cx="5485130" cy="3199130"/>
            <wp:effectExtent l="0" t="0" r="0" b="0"/>
            <wp:docPr id="3" name="Wykres 16973692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color w:val="auto"/>
        </w:rPr>
        <w:t xml:space="preserve">  </w:t>
      </w:r>
    </w:p>
    <w:p>
      <w:pPr>
        <w:pStyle w:val="Normal"/>
        <w:rPr>
          <w:color w:val="auto"/>
        </w:rPr>
      </w:pPr>
      <w:r>
        <w:rPr>
          <w:i/>
          <w:color w:val="auto"/>
        </w:rPr>
        <w:t>Źródło: Opracowanie własne KMP w Piekarach Śląskich</w:t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BEZPIECZEŃSTWO W RUCHU DROGOWYM</w:t>
      </w:r>
    </w:p>
    <w:p>
      <w:pPr>
        <w:pStyle w:val="Normal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Wypadki i kolizje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b/>
          <w:bCs/>
          <w:color w:val="auto"/>
        </w:rPr>
        <w:tab/>
      </w:r>
      <w:r>
        <w:rPr>
          <w:color w:val="auto"/>
        </w:rPr>
        <w:t>W ubiegłym roku Komenda Miejska Policji w Piekarach Śląskich odnotowała 22 wypadki drogowe, w których 26 osób odniosło obrażenia ciała. Ponadto w okresie tym zgłoszono 528 kolizji drogowych.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b/>
          <w:i/>
          <w:iCs/>
          <w:color w:val="auto"/>
        </w:rPr>
        <w:t>Wykres: Liczba wypadków i kolizji drogowych w latach 2015-2025</w:t>
      </w:r>
    </w:p>
    <w:p>
      <w:pPr>
        <w:pStyle w:val="Normal"/>
        <w:rPr>
          <w:color w:val="auto"/>
        </w:rPr>
      </w:pPr>
      <w:r>
        <w:rPr/>
        <w:drawing>
          <wp:inline distT="0" distB="0" distL="0" distR="0">
            <wp:extent cx="5485130" cy="2273935"/>
            <wp:effectExtent l="0" t="0" r="0" b="0"/>
            <wp:docPr id="4" name="Wykres 16973692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 </w:t>
      </w:r>
      <w:r>
        <w:rPr>
          <w:i/>
          <w:color w:val="auto"/>
        </w:rPr>
        <w:t>Źródło: Opracowanie własne KMP w Piekarach Śląskich</w:t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color w:val="auto"/>
        </w:rPr>
      </w:pPr>
      <w:r>
        <w:rPr>
          <w:b/>
          <w:color w:val="auto"/>
        </w:rPr>
        <w:t>BEZPIECZEŃSTWO PIESZYCH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Analizując cały rok 2025 można zaobserwować wzrost wypadków z udziałem pieszych</w:t>
        <w:br/>
        <w:t>z 5 na 7. Wzrosła również ilość rannych osób pieszych z 5 na 7.  W stosunku do roku ubiegłego odnotowany został wzrost w zakresie ilości kolizji z udziałem pieszych z 1 na 4. Nie odnotowano zabitych pieszych w roku 2025.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b/>
          <w:i/>
          <w:iCs/>
          <w:color w:val="auto"/>
        </w:rPr>
        <w:t>Wykres: Zdarzenia z udziałem pieszych w latach 2015-2025</w:t>
      </w:r>
    </w:p>
    <w:p>
      <w:pPr>
        <w:pStyle w:val="Normal"/>
        <w:rPr>
          <w:color w:val="auto"/>
        </w:rPr>
      </w:pPr>
      <w:r>
        <w:rPr/>
        <w:drawing>
          <wp:inline distT="0" distB="0" distL="0" distR="0">
            <wp:extent cx="5485130" cy="2726055"/>
            <wp:effectExtent l="0" t="0" r="0" b="0"/>
            <wp:docPr id="5" name="Wykres 169736925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rPr>
          <w:color w:val="auto"/>
        </w:rPr>
      </w:pPr>
      <w:r>
        <w:rPr>
          <w:i/>
          <w:color w:val="auto"/>
        </w:rPr>
        <w:t>Źródło: Opracowanie własne KMP w Piekarach Śląskich.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OBSZAR PREWENCYJNY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ab/>
      </w:r>
      <w:r>
        <w:rPr>
          <w:color w:val="auto"/>
        </w:rPr>
        <w:t>W 2025 roku ujawniono ogółem 10 997 wykroczeń, co stanowi wzrost o 1 850 wykroczeń              w stosunku do roku ubiegłego i uznać należy, iż jest to realne odzwierciedlenie pracy policjantów</w:t>
        <w:br/>
        <w:t>na rzecz bezpieczeństwa miasta.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b/>
          <w:i/>
          <w:iCs/>
          <w:color w:val="auto"/>
        </w:rPr>
        <w:t>Wykres: Wykroczenia ogółem</w:t>
      </w:r>
    </w:p>
    <w:p>
      <w:pPr>
        <w:pStyle w:val="Normal"/>
        <w:rPr>
          <w:color w:val="auto"/>
        </w:rPr>
      </w:pPr>
      <w:r>
        <w:rPr/>
        <w:drawing>
          <wp:inline distT="0" distB="0" distL="0" distR="0">
            <wp:extent cx="5597525" cy="2026920"/>
            <wp:effectExtent l="0" t="0" r="0" b="0"/>
            <wp:docPr id="6" name="Wykres 169736926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rPr>
          <w:color w:val="auto"/>
        </w:rPr>
      </w:pPr>
      <w:r>
        <w:rPr>
          <w:i/>
          <w:color w:val="auto"/>
        </w:rPr>
        <w:t>Źródło: Opracowanie własne KMP w Piekarach Śląskich</w:t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i/>
          <w:i/>
          <w:color w:val="auto"/>
        </w:rPr>
      </w:pPr>
      <w:r>
        <w:rPr>
          <w:i/>
          <w:color w:val="auto"/>
        </w:rPr>
      </w:r>
    </w:p>
    <w:p>
      <w:pPr>
        <w:pStyle w:val="Normal"/>
        <w:rPr>
          <w:color w:val="auto"/>
        </w:rPr>
      </w:pPr>
      <w:r>
        <w:rPr>
          <w:b/>
          <w:bCs/>
          <w:color w:val="auto"/>
        </w:rPr>
        <w:t>Współdziałanie Komendy Miejskiej Policji z samorządem terytorialnym</w:t>
      </w:r>
    </w:p>
    <w:p>
      <w:pPr>
        <w:pStyle w:val="Normal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b/>
          <w:bCs/>
          <w:color w:val="auto"/>
        </w:rPr>
        <w:tab/>
      </w:r>
      <w:r>
        <w:rPr>
          <w:color w:val="auto"/>
        </w:rPr>
        <w:t>W 2025 roku na bieżąco realizowano współpracę z Prezydentem Miasta Piekary Śląskie                 w zakresie zapewnienia bezpieczeństwa mieszkańcom miasta. Utrzymywano również stały kontakt z Wydziałem Zarządzania Kryzysowego Urzędu Miasta Piekary Śląskie.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Uzyskane wsparcie finansowe przeznaczono na dofinansowania nagród dla policjantów wzorowo wykonujących zadania służbow</w:t>
      </w:r>
      <w:r>
        <w:rPr>
          <w:color w:val="000000"/>
          <w:sz w:val="22"/>
          <w:szCs w:val="22"/>
          <w:shd w:fill="auto" w:val="clear"/>
        </w:rPr>
        <w:t xml:space="preserve">e. 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000000"/>
          <w:sz w:val="22"/>
          <w:szCs w:val="22"/>
          <w:shd w:fill="auto" w:val="clear"/>
        </w:rPr>
        <w:tab/>
        <w:t>Zrozumienie i przychylne podejście do kwestii bezpieczeństwa ze stron</w:t>
      </w:r>
      <w:r>
        <w:rPr>
          <w:color w:val="auto"/>
        </w:rPr>
        <w:t xml:space="preserve">y Władz Miasta oraz Rady Miasta pozwoliły na właściwą realizację zadań przez funkcjonariuszy Komendy Miejskiej Policji </w:t>
        <w:br/>
        <w:t>w  Piekarach Śląskich.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Na bieżąco współpracowano również z jednostkami samorządu terytorialnego, którego zakres działania jest zbieżny z zakresem działania Policji. Systematycznie wymieniano informacje</w:t>
        <w:br/>
        <w:t>z Miejskim Ośrodkiem Pomocy Rodzinie w zakresie pomocy ofiarom przemocy domowej.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Na szczególną uwagę zasługuje współpraca ze Strażą Miejską. Realizacja przedsięwzięć                z zakresu wspólnych patroli, czy też współpraca w związku z zabezpieczeniem imprez, odbywała się</w:t>
        <w:br/>
        <w:t>w sposób należyty z zachowaniem właściwego podziału kompetencji.</w:t>
      </w:r>
    </w:p>
    <w:p>
      <w:pPr>
        <w:pStyle w:val="Normal"/>
        <w:spacing w:lineRule="auto" w:line="360"/>
        <w:jc w:val="both"/>
        <w:rPr>
          <w:color w:val="auto"/>
        </w:rPr>
      </w:pPr>
      <w:r>
        <w:rPr>
          <w:color w:val="auto"/>
        </w:rPr>
        <w:tab/>
        <w:t>Pełna informacja na temat analizy bezpieczeństwa i porządku publicznego za rok 2025 znajduje się w sprawozdaniu dotyczącym wykonania „Programu Zapobiegania Przestępczości oraz Ochrony Bezpieczeństwa Obywateli i Porządku Publicznego dla Miasta Piekary Śląskie”.</w:t>
      </w:r>
    </w:p>
    <w:p>
      <w:pPr>
        <w:pStyle w:val="Normal"/>
        <w:spacing w:lineRule="auto" w:line="360" w:before="100" w:after="0"/>
        <w:ind w:firstLine="691" w:left="0" w:right="17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spacing w:lineRule="auto" w:line="360" w:before="100" w:after="0"/>
        <w:ind w:firstLine="708" w:left="0" w:right="0"/>
        <w:jc w:val="both"/>
        <w:rPr>
          <w:rFonts w:ascii="Calibri" w:hAnsi="Calibri"/>
          <w:b w:val="false"/>
          <w:bCs w:val="false"/>
          <w:color w:val="auto"/>
          <w:sz w:val="24"/>
          <w:shd w:fill="auto" w:val="clear"/>
          <w:lang w:eastAsia="pl-PL"/>
        </w:rPr>
      </w:pPr>
      <w:r>
        <w:rPr>
          <w:b w:val="false"/>
          <w:bCs w:val="false"/>
          <w:color w:val="000000"/>
          <w:sz w:val="24"/>
          <w:shd w:fill="auto" w:val="clear"/>
          <w:lang w:eastAsia="pl-PL"/>
        </w:rPr>
      </w:r>
      <w:bookmarkStart w:id="1" w:name="_GoBack"/>
      <w:bookmarkStart w:id="2" w:name="_GoBack"/>
      <w:bookmarkEnd w:id="2"/>
    </w:p>
    <w:sectPr>
      <w:footerReference w:type="even" r:id="rId8"/>
      <w:footerReference w:type="default" r:id="rId9"/>
      <w:type w:val="nextPage"/>
      <w:pgSz w:w="11906" w:h="16838"/>
      <w:pgMar w:left="1417" w:right="1417" w:gutter="0" w:header="0" w:top="1417" w:footer="1417" w:bottom="220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left"/>
      <w:rPr/>
    </w:pPr>
    <w:bookmarkStart w:id="3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  <w:bookmarkEnd w:id="3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/>
    </w:pPr>
    <w:bookmarkStart w:id="4" w:name="PageNumWizard_FOOTER_Domyślny_styl_stro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  <w:bookmarkEnd w:id="4"/>
  </w:p>
</w:ftr>
</file>

<file path=word/settings.xml><?xml version="1.0" encoding="utf-8"?>
<w:settings xmlns:w="http://schemas.openxmlformats.org/wordprocessingml/2006/main">
  <w:zoom w:percent="80"/>
  <w:mirrorMargins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10ded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10d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Arkusz_programu_Microsoft_Excel6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1"/>
                <c:pt idx="0">
                  <c:v>1238</c:v>
                </c:pt>
                <c:pt idx="1">
                  <c:v>1022</c:v>
                </c:pt>
                <c:pt idx="2">
                  <c:v>1053</c:v>
                </c:pt>
                <c:pt idx="3">
                  <c:v>1126</c:v>
                </c:pt>
                <c:pt idx="4">
                  <c:v>1071</c:v>
                </c:pt>
                <c:pt idx="5">
                  <c:v>982</c:v>
                </c:pt>
                <c:pt idx="6">
                  <c:v>1124</c:v>
                </c:pt>
                <c:pt idx="7">
                  <c:v>1155</c:v>
                </c:pt>
                <c:pt idx="8">
                  <c:v>1075</c:v>
                </c:pt>
                <c:pt idx="9">
                  <c:v>1123</c:v>
                </c:pt>
                <c:pt idx="10">
                  <c:v>1081</c:v>
                </c:pt>
              </c:numCache>
            </c:numRef>
          </c:val>
        </c:ser>
        <c:gapWidth val="219"/>
        <c:overlap val="0"/>
        <c:axId val="78431382"/>
        <c:axId val="93122683"/>
      </c:barChart>
      <c:catAx>
        <c:axId val="7843138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3122683"/>
        <c:crosses val="autoZero"/>
        <c:auto val="1"/>
        <c:lblAlgn val="ctr"/>
        <c:lblOffset val="100"/>
        <c:noMultiLvlLbl val="0"/>
      </c:catAx>
      <c:valAx>
        <c:axId val="9312268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8431382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1"/>
                <c:pt idx="0">
                  <c:v>840</c:v>
                </c:pt>
                <c:pt idx="1">
                  <c:v>647</c:v>
                </c:pt>
                <c:pt idx="2">
                  <c:v>700</c:v>
                </c:pt>
                <c:pt idx="3">
                  <c:v>765</c:v>
                </c:pt>
                <c:pt idx="4">
                  <c:v>745</c:v>
                </c:pt>
                <c:pt idx="5">
                  <c:v>666</c:v>
                </c:pt>
                <c:pt idx="6">
                  <c:v>704</c:v>
                </c:pt>
                <c:pt idx="7">
                  <c:v>774</c:v>
                </c:pt>
                <c:pt idx="8">
                  <c:v>697</c:v>
                </c:pt>
                <c:pt idx="9">
                  <c:v>695</c:v>
                </c:pt>
                <c:pt idx="10">
                  <c:v>560</c:v>
                </c:pt>
              </c:numCache>
            </c:numRef>
          </c:val>
        </c:ser>
        <c:gapWidth val="219"/>
        <c:overlap val="0"/>
        <c:axId val="45082812"/>
        <c:axId val="59237469"/>
      </c:barChart>
      <c:catAx>
        <c:axId val="450828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9237469"/>
        <c:crosses val="autoZero"/>
        <c:auto val="1"/>
        <c:lblAlgn val="ctr"/>
        <c:lblOffset val="100"/>
        <c:noMultiLvlLbl val="0"/>
      </c:catAx>
      <c:valAx>
        <c:axId val="5923746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5082812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170</c:v>
                </c:pt>
                <c:pt idx="1">
                  <c:v>212</c:v>
                </c:pt>
              </c:numCache>
            </c:numRef>
          </c:val>
        </c:ser>
        <c:gapWidth val="219"/>
        <c:overlap val="-27"/>
        <c:axId val="28897142"/>
        <c:axId val="88326013"/>
      </c:barChart>
      <c:catAx>
        <c:axId val="2889714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8326013"/>
        <c:crosses val="autoZero"/>
        <c:auto val="1"/>
        <c:lblAlgn val="ctr"/>
        <c:lblOffset val="100"/>
        <c:noMultiLvlLbl val="0"/>
      </c:catAx>
      <c:valAx>
        <c:axId val="8832601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8897142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Wypadki drogowe</c:v>
                </c:pt>
              </c:strCache>
            </c:strRef>
          </c:tx>
          <c:spPr>
            <a:gradFill>
              <a:gsLst>
                <a:gs pos="0">
                  <a:srgbClr val="9fb3d4"/>
                </a:gs>
                <a:gs pos="50000">
                  <a:srgbClr val="8fa7d0"/>
                </a:gs>
                <a:gs pos="100000">
                  <a:srgbClr val="7c95bd"/>
                </a:gs>
              </a:gsLst>
              <a:lin ang="5400000"/>
            </a:gra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1"/>
                <c:pt idx="0">
                  <c:v>39</c:v>
                </c:pt>
                <c:pt idx="1">
                  <c:v>35</c:v>
                </c:pt>
                <c:pt idx="2">
                  <c:v>34</c:v>
                </c:pt>
                <c:pt idx="3">
                  <c:v>36</c:v>
                </c:pt>
                <c:pt idx="4">
                  <c:v>35</c:v>
                </c:pt>
                <c:pt idx="5">
                  <c:v>32</c:v>
                </c:pt>
                <c:pt idx="6">
                  <c:v>28</c:v>
                </c:pt>
                <c:pt idx="7">
                  <c:v>26</c:v>
                </c:pt>
                <c:pt idx="8">
                  <c:v>31</c:v>
                </c:pt>
                <c:pt idx="9">
                  <c:v>19</c:v>
                </c:pt>
                <c:pt idx="10">
                  <c:v>22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Kolizje drogowe</c:v>
                </c:pt>
              </c:strCache>
            </c:strRef>
          </c:tx>
          <c:spPr>
            <a:gradFill>
              <a:gsLst>
                <a:gs pos="0">
                  <a:srgbClr val="6082b2"/>
                </a:gs>
                <a:gs pos="50000">
                  <a:srgbClr val="4171ab"/>
                </a:gs>
                <a:gs pos="100000">
                  <a:srgbClr val="35649d"/>
                </a:gs>
              </a:gsLst>
              <a:lin ang="5400000"/>
            </a:gra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1"/>
                <c:pt idx="0">
                  <c:v>454</c:v>
                </c:pt>
                <c:pt idx="1">
                  <c:v>569</c:v>
                </c:pt>
                <c:pt idx="2">
                  <c:v>528</c:v>
                </c:pt>
                <c:pt idx="3">
                  <c:v>575</c:v>
                </c:pt>
                <c:pt idx="4">
                  <c:v>528</c:v>
                </c:pt>
                <c:pt idx="5">
                  <c:v>531</c:v>
                </c:pt>
                <c:pt idx="6">
                  <c:v>557</c:v>
                </c:pt>
                <c:pt idx="7">
                  <c:v>502</c:v>
                </c:pt>
                <c:pt idx="8">
                  <c:v>533</c:v>
                </c:pt>
                <c:pt idx="9">
                  <c:v>527</c:v>
                </c:pt>
                <c:pt idx="10">
                  <c:v>528</c:v>
                </c:pt>
              </c:numCache>
            </c:numRef>
          </c:val>
        </c:ser>
        <c:gapWidth val="100"/>
        <c:overlap val="-24"/>
        <c:axId val="7617041"/>
        <c:axId val="83505407"/>
      </c:barChart>
      <c:catAx>
        <c:axId val="761704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60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3505407"/>
        <c:crosses val="autoZero"/>
        <c:auto val="1"/>
        <c:lblAlgn val="ctr"/>
        <c:lblOffset val="100"/>
        <c:noMultiLvlLbl val="0"/>
      </c:catAx>
      <c:valAx>
        <c:axId val="83505407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617041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Liczba wypadków </c:v>
                </c:pt>
              </c:strCache>
            </c:strRef>
          </c:tx>
          <c:spPr>
            <a:solidFill>
              <a:srgbClr val="31859c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1"/>
                <c:pt idx="0">
                  <c:v>8</c:v>
                </c:pt>
                <c:pt idx="1">
                  <c:v>11</c:v>
                </c:pt>
                <c:pt idx="2">
                  <c:v>11</c:v>
                </c:pt>
                <c:pt idx="3">
                  <c:v>18</c:v>
                </c:pt>
                <c:pt idx="4">
                  <c:v>13</c:v>
                </c:pt>
                <c:pt idx="5">
                  <c:v>8</c:v>
                </c:pt>
                <c:pt idx="6">
                  <c:v>11</c:v>
                </c:pt>
                <c:pt idx="7">
                  <c:v>8</c:v>
                </c:pt>
                <c:pt idx="8">
                  <c:v>13</c:v>
                </c:pt>
                <c:pt idx="9">
                  <c:v>5</c:v>
                </c:pt>
                <c:pt idx="10">
                  <c:v>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Liczba kolizji</c:v>
                </c:pt>
              </c:strCache>
            </c:strRef>
          </c:tx>
          <c:spPr>
            <a:gradFill>
              <a:gsLst>
                <a:gs pos="0">
                  <a:srgbClr val="8da6cd"/>
                </a:gs>
                <a:gs pos="50000">
                  <a:srgbClr val="7999ca"/>
                </a:gs>
                <a:gs pos="100000">
                  <a:srgbClr val="6888b8"/>
                </a:gs>
              </a:gsLst>
              <a:lin ang="5400000"/>
            </a:gra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1"/>
                <c:pt idx="0">
                  <c:v>8</c:v>
                </c:pt>
                <c:pt idx="1">
                  <c:v>19</c:v>
                </c:pt>
                <c:pt idx="2">
                  <c:v>13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2</c:v>
                </c:pt>
                <c:pt idx="7">
                  <c:v>11</c:v>
                </c:pt>
                <c:pt idx="8">
                  <c:v>5</c:v>
                </c:pt>
                <c:pt idx="9">
                  <c:v>1</c:v>
                </c:pt>
                <c:pt idx="10">
                  <c:v>4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Ranni </c:v>
                </c:pt>
              </c:strCache>
            </c:strRef>
          </c:tx>
          <c:spPr>
            <a:solidFill>
              <a:srgbClr val="948a54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1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16</c:v>
                </c:pt>
                <c:pt idx="4">
                  <c:v>14</c:v>
                </c:pt>
                <c:pt idx="5">
                  <c:v>7</c:v>
                </c:pt>
                <c:pt idx="6">
                  <c:v>12</c:v>
                </c:pt>
                <c:pt idx="7">
                  <c:v>7</c:v>
                </c:pt>
                <c:pt idx="8">
                  <c:v>13</c:v>
                </c:pt>
                <c:pt idx="9">
                  <c:v>5</c:v>
                </c:pt>
                <c:pt idx="10">
                  <c:v>7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Zabici</c:v>
                </c:pt>
              </c:strCache>
            </c:strRef>
          </c:tx>
          <c:spPr>
            <a:gradFill>
              <a:gsLst>
                <a:gs pos="0">
                  <a:srgbClr val="5c78a1"/>
                </a:gs>
                <a:gs pos="50000">
                  <a:srgbClr val="3a6599"/>
                </a:gs>
                <a:gs pos="100000">
                  <a:srgbClr val="2f588c"/>
                </a:gs>
              </a:gsLst>
              <a:lin ang="5400000"/>
            </a:gra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gapWidth val="100"/>
        <c:overlap val="-24"/>
        <c:axId val="87517453"/>
        <c:axId val="473615"/>
      </c:barChart>
      <c:catAx>
        <c:axId val="8751745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60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73615"/>
        <c:crosses val="autoZero"/>
        <c:auto val="1"/>
        <c:lblAlgn val="ctr"/>
        <c:lblOffset val="100"/>
        <c:noMultiLvlLbl val="0"/>
      </c:catAx>
      <c:valAx>
        <c:axId val="47361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7517453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12021</c:v>
                </c:pt>
                <c:pt idx="1">
                  <c:v>11801</c:v>
                </c:pt>
                <c:pt idx="2">
                  <c:v>9565</c:v>
                </c:pt>
                <c:pt idx="3">
                  <c:v>10697</c:v>
                </c:pt>
                <c:pt idx="4">
                  <c:v>10638</c:v>
                </c:pt>
                <c:pt idx="5">
                  <c:v>13763</c:v>
                </c:pt>
                <c:pt idx="6">
                  <c:v>11792</c:v>
                </c:pt>
                <c:pt idx="7">
                  <c:v>10399</c:v>
                </c:pt>
                <c:pt idx="8">
                  <c:v>9147</c:v>
                </c:pt>
                <c:pt idx="9">
                  <c:v>10997</c:v>
                </c:pt>
              </c:numCache>
            </c:numRef>
          </c:val>
        </c:ser>
        <c:gapWidth val="219"/>
        <c:overlap val="0"/>
        <c:axId val="68575598"/>
        <c:axId val="1139211"/>
      </c:barChart>
      <c:catAx>
        <c:axId val="6857559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139211"/>
        <c:crosses val="autoZero"/>
        <c:auto val="1"/>
        <c:lblAlgn val="ctr"/>
        <c:lblOffset val="100"/>
        <c:noMultiLvlLbl val="0"/>
      </c:catAx>
      <c:valAx>
        <c:axId val="113921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8575598"/>
        <c:crosses val="autoZero"/>
        <c:crossBetween val="between"/>
      </c:valAx>
      <c:spPr>
        <a:noFill/>
        <a:ln w="0">
          <a:solidFill>
            <a:srgbClr val="4f81bd"/>
          </a:solidFill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Application>LibreOffice/7.6.2.1$Windows_X86_64 LibreOffice_project/56f7684011345957bbf33a7ee678afaf4d2ba333</Application>
  <AppVersion>15.0000</AppVersion>
  <Pages>7</Pages>
  <Words>674</Words>
  <Characters>4367</Characters>
  <CharactersWithSpaces>5149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2025-02-03T10:33:00Z</dcterms:created>
  <dc:creator>Maciej Klimaszewski</dc:creator>
  <dc:description/>
  <dc:language>pl-PL</dc:language>
  <cp:lastModifiedBy/>
  <cp:lastPrinted>2026-01-22T12:53:34Z</cp:lastPrinted>
  <dcterms:modified xsi:type="dcterms:W3CDTF">2026-02-19T12:18:09Z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